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78474E" w:rsidRDefault="00C54168"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C54168"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徳島県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54168" w:rsidRPr="00C54168">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168"/>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7217-21AC-4FF2-901B-D026406E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2019-02-18T07:27:00Z</dcterms:modified>
</cp:coreProperties>
</file>